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val="0"/>
          <w:sz w:val="24"/>
          <w:szCs w:val="24"/>
          <w:lang w:val="en-US" w:eastAsia="zh-CN"/>
        </w:rPr>
      </w:pPr>
      <w:r>
        <w:rPr>
          <w:rFonts w:hint="eastAsia"/>
          <w:b/>
          <w:bCs w:val="0"/>
          <w:sz w:val="24"/>
          <w:szCs w:val="24"/>
        </w:rPr>
        <w:t>成都大学软件工程专业建设分析服务项目</w:t>
      </w:r>
      <w:r>
        <w:rPr>
          <w:rFonts w:hint="eastAsia"/>
          <w:b/>
          <w:bCs w:val="0"/>
          <w:sz w:val="24"/>
          <w:szCs w:val="24"/>
          <w:lang w:val="en-US" w:eastAsia="zh-CN"/>
        </w:rPr>
        <w:t>说明</w:t>
      </w:r>
    </w:p>
    <w:p>
      <w:pPr>
        <w:rPr>
          <w:rFonts w:hint="eastAsia"/>
          <w:b/>
        </w:rPr>
      </w:pPr>
    </w:p>
    <w:p>
      <w:pPr>
        <w:rPr>
          <w:bCs/>
        </w:rPr>
      </w:pPr>
      <w:r>
        <w:rPr>
          <w:rFonts w:hint="eastAsia"/>
          <w:b/>
        </w:rPr>
        <w:t>项目简要说明</w:t>
      </w:r>
      <w:r>
        <w:rPr>
          <w:b/>
        </w:rPr>
        <w:t>：</w:t>
      </w:r>
      <w:r>
        <w:rPr>
          <w:rFonts w:hint="eastAsia"/>
          <w:bCs/>
        </w:rPr>
        <w:t>本项目为成都大学软件工程专业建设分析服务项目。</w:t>
      </w:r>
    </w:p>
    <w:p>
      <w:pPr>
        <w:rPr>
          <w:bCs/>
        </w:rPr>
      </w:pPr>
      <w:r>
        <w:rPr>
          <w:rFonts w:hint="eastAsia"/>
          <w:bCs/>
        </w:rPr>
        <w:t xml:space="preserve">    本项目通过AI技术及大数据分析方法，对成都大学软件工程专业的社会需求、毕业生能力素质、课程关联能力分析、毕业生市场竞争力、社会评价等多维度进行全面分析，提供专业AI分析报告1份。</w:t>
      </w:r>
    </w:p>
    <w:p>
      <w:pPr>
        <w:rPr>
          <w:b/>
          <w:bCs/>
        </w:rPr>
      </w:pPr>
      <w:r>
        <w:rPr>
          <w:rFonts w:hint="eastAsia"/>
          <w:b/>
          <w:bCs/>
        </w:rPr>
        <w:t>（一）技术要求</w:t>
      </w:r>
    </w:p>
    <w:p>
      <w:pPr>
        <w:rPr>
          <w:bCs/>
        </w:rPr>
      </w:pPr>
      <w:r>
        <w:rPr>
          <w:rFonts w:hint="eastAsia"/>
          <w:bCs/>
        </w:rPr>
        <w:t xml:space="preserve">    依据成果导向（OBE）专业建设思路，从培养目标修订入手，倒推课程体系的调整方向，以人工智能及大数据的新型技术分析手段为基础，通过自动化方式（非问卷调查方式），对不低于200个招聘网站，持续四年不低于6000万条招聘需求数据；从全国超过1000所高职院校的近十年毕业生工作经历数据，智能跟踪各个时间段内的职业经历轨迹信息，智能分析课程对毕业要求的支撑情况、毕业要求对培养目标的支撑情况；分析全国、四川省区域对人才的素养、通识能力、专业知识与技能等详细的社会需求情况。</w:t>
      </w:r>
    </w:p>
    <w:p>
      <w:pPr>
        <w:rPr>
          <w:b/>
          <w:bCs/>
        </w:rPr>
      </w:pPr>
      <w:r>
        <w:rPr>
          <w:rFonts w:hint="eastAsia"/>
          <w:b/>
          <w:bCs/>
        </w:rPr>
        <w:t>（二）技术规格</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b/>
          <w:bCs/>
          <w:szCs w:val="21"/>
        </w:rPr>
        <w:t>专业需要分析的</w:t>
      </w:r>
      <w:r>
        <w:rPr>
          <w:rFonts w:ascii="宋体" w:hAnsi="宋体" w:cs="宋体"/>
          <w:b/>
          <w:bCs/>
          <w:szCs w:val="21"/>
        </w:rPr>
        <w:t>素养</w:t>
      </w:r>
      <w:r>
        <w:rPr>
          <w:rFonts w:hint="eastAsia" w:ascii="宋体" w:hAnsi="宋体" w:cs="宋体"/>
          <w:b/>
          <w:bCs/>
          <w:szCs w:val="21"/>
        </w:rPr>
        <w:t>。</w:t>
      </w:r>
      <w:r>
        <w:rPr>
          <w:rFonts w:hint="eastAsia" w:ascii="宋体" w:hAnsi="宋体" w:cs="宋体"/>
          <w:szCs w:val="21"/>
        </w:rPr>
        <w:t>通过大数据人工智能方式智能提取各项素养，包含：爱岗敬业、责任感强、积极主动、勇于承担责任、吃苦耐劳、勤奋努力、乐于合作、严谨细致、遵规守信、渴望成功、勇于挑战的精神、自信心强、忠诚可靠、忠于职守。</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b/>
          <w:bCs/>
          <w:szCs w:val="21"/>
        </w:rPr>
        <w:t>★专业需要分析的</w:t>
      </w:r>
      <w:r>
        <w:rPr>
          <w:rFonts w:ascii="宋体" w:hAnsi="宋体" w:cs="宋体"/>
          <w:b/>
          <w:bCs/>
          <w:szCs w:val="21"/>
        </w:rPr>
        <w:t>通识能力</w:t>
      </w:r>
      <w:r>
        <w:rPr>
          <w:rFonts w:hint="eastAsia" w:ascii="宋体" w:hAnsi="宋体" w:cs="宋体"/>
          <w:b/>
          <w:bCs/>
          <w:szCs w:val="21"/>
        </w:rPr>
        <w:t>。</w:t>
      </w:r>
      <w:r>
        <w:rPr>
          <w:rFonts w:hint="eastAsia" w:ascii="宋体" w:hAnsi="宋体" w:cs="宋体"/>
          <w:szCs w:val="21"/>
        </w:rPr>
        <w:t>通过大数据人工智能方式智能提取各项通识能力，包含：学习能力、组织与管理能力、新知识接受能力、沟通与表达能力、组织协调能力、逻辑思维能力、执行能力、创新能力、抗压抗挫能力、想象能力、自我管理能力、职业适应能力、知识融会贯通能力、观察能力。</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b/>
          <w:bCs/>
          <w:szCs w:val="21"/>
        </w:rPr>
        <w:t>★专业需要分析的专业知识与技能。</w:t>
      </w:r>
      <w:r>
        <w:rPr>
          <w:rFonts w:hint="eastAsia" w:ascii="宋体" w:hAnsi="宋体" w:cs="宋体"/>
          <w:szCs w:val="21"/>
        </w:rPr>
        <w:t>通过大数据人工智能方式智能提取各项专业知识与技能，专业知识与技能即专业课程培养的专业知识和专业技能项。</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b/>
          <w:bCs/>
          <w:szCs w:val="21"/>
        </w:rPr>
        <w:t>★专业需要分析的平均月薪</w:t>
      </w:r>
      <w:r>
        <w:rPr>
          <w:rFonts w:hint="eastAsia" w:ascii="宋体" w:hAnsi="宋体" w:cs="宋体"/>
          <w:szCs w:val="21"/>
        </w:rPr>
        <w:t>。通过大数据人工智能方式智能提取，采用毕业生毕业两年的月薪（不包含各种补贴和年终奖励等），去除月薪低于2千元及月薪高于7万元后，采用平均值异常剔除法得出的平均月薪。</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（5）</w:t>
      </w:r>
      <w:r>
        <w:rPr>
          <w:rFonts w:hint="eastAsia" w:ascii="宋体" w:hAnsi="宋体" w:cs="宋体"/>
          <w:b/>
          <w:bCs/>
          <w:szCs w:val="21"/>
        </w:rPr>
        <w:t>★专业需要分析的</w:t>
      </w:r>
      <w:r>
        <w:rPr>
          <w:rFonts w:ascii="宋体" w:hAnsi="宋体" w:cs="宋体"/>
          <w:b/>
          <w:bCs/>
          <w:szCs w:val="21"/>
        </w:rPr>
        <w:t>月薪指数</w:t>
      </w:r>
      <w:r>
        <w:rPr>
          <w:rFonts w:hint="eastAsia" w:ascii="宋体" w:hAnsi="宋体" w:cs="宋体"/>
          <w:b/>
          <w:bCs/>
          <w:szCs w:val="21"/>
        </w:rPr>
        <w:t>。</w:t>
      </w:r>
      <w:r>
        <w:rPr>
          <w:rFonts w:ascii="宋体" w:hAnsi="宋体" w:cs="宋体"/>
          <w:szCs w:val="21"/>
        </w:rPr>
        <w:t>基于平均月薪基础上</w:t>
      </w:r>
      <w:r>
        <w:rPr>
          <w:rFonts w:hint="eastAsia" w:ascii="宋体" w:hAnsi="宋体" w:cs="宋体"/>
          <w:szCs w:val="21"/>
        </w:rPr>
        <w:t>，相对于不同省市不同岗位平均月薪均值的得分，避免不同地域和职业差异性。</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（6）</w:t>
      </w:r>
      <w:r>
        <w:rPr>
          <w:rFonts w:hint="eastAsia" w:ascii="宋体" w:hAnsi="宋体" w:cs="宋体"/>
          <w:b/>
          <w:bCs/>
          <w:szCs w:val="21"/>
        </w:rPr>
        <w:t>专业需求分析的毕业生工作满意度。</w:t>
      </w:r>
      <w:r>
        <w:rPr>
          <w:rFonts w:hint="eastAsia" w:ascii="宋体" w:hAnsi="宋体" w:cs="宋体"/>
          <w:szCs w:val="21"/>
        </w:rPr>
        <w:t>通过大数据人工智能方式智能提取，采用毕业生毕业两年的满意度。基于毕业生的跳槽情况/平均工作时长，采用10分制，平均工作时长≤6个月视为对工作不满意，计3分；6个月＜平均工作时长≤18个月视为工作一般，计6分；平均工作时长＞18个月视为工作很满意，计10分。</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（7）</w:t>
      </w:r>
      <w:r>
        <w:rPr>
          <w:rFonts w:hint="eastAsia" w:ascii="宋体" w:hAnsi="宋体" w:cs="宋体"/>
          <w:b/>
          <w:bCs/>
          <w:szCs w:val="21"/>
        </w:rPr>
        <w:t>专业需要分析的毕业生工作稳定性。</w:t>
      </w:r>
      <w:r>
        <w:rPr>
          <w:rFonts w:hint="eastAsia" w:ascii="宋体" w:hAnsi="宋体" w:cs="宋体"/>
          <w:szCs w:val="21"/>
        </w:rPr>
        <w:t>通过大数据人工智能方式智能提取，采用毕业生毕业两年的工作稳定性。基于毕业生的跳槽情况/平均工作时长，平均工作时长小于8个月视为很不稳定；平均工作时长在8至12个月之间内视为不太稳定；平均工作时长在12-18个月内视为较稳定；平均工作时长大于18个月视为很稳定。</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（8）</w:t>
      </w:r>
      <w:r>
        <w:rPr>
          <w:rFonts w:hint="eastAsia" w:ascii="宋体" w:hAnsi="宋体" w:cs="宋体"/>
          <w:b/>
          <w:bCs/>
          <w:szCs w:val="21"/>
        </w:rPr>
        <w:t>专业需要分析的</w:t>
      </w:r>
      <w:r>
        <w:rPr>
          <w:rFonts w:ascii="宋体" w:hAnsi="宋体" w:cs="宋体"/>
          <w:b/>
          <w:bCs/>
          <w:szCs w:val="21"/>
        </w:rPr>
        <w:t>毕业生岗位匹配度</w:t>
      </w:r>
      <w:r>
        <w:rPr>
          <w:rFonts w:hint="eastAsia" w:ascii="宋体" w:hAnsi="宋体" w:cs="宋体"/>
          <w:b/>
          <w:bCs/>
          <w:szCs w:val="21"/>
        </w:rPr>
        <w:t>。</w:t>
      </w:r>
      <w:r>
        <w:rPr>
          <w:rFonts w:hint="eastAsia" w:ascii="宋体" w:hAnsi="宋体" w:cs="宋体"/>
          <w:szCs w:val="21"/>
        </w:rPr>
        <w:t>通过大数据人工智能方式智能提取，采用毕业生毕业三年岗位匹配度。基于毕业生职位类型变动情况，分为未变动、变动1次、变动2次及以上。</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（9） </w:t>
      </w:r>
      <w:r>
        <w:rPr>
          <w:rFonts w:hint="eastAsia" w:ascii="宋体" w:hAnsi="宋体" w:cs="宋体"/>
          <w:b/>
          <w:bCs/>
          <w:szCs w:val="21"/>
        </w:rPr>
        <w:t>★专业需要分析的单位对毕业生满意度。</w:t>
      </w:r>
      <w:r>
        <w:rPr>
          <w:rFonts w:hint="eastAsia" w:ascii="宋体" w:hAnsi="宋体" w:cs="宋体"/>
          <w:szCs w:val="21"/>
        </w:rPr>
        <w:t>通过大数据人工智能方式智能提取，基于全国高校水平，结合毕业生跳槽频率、月薪及同市场水平比较、岗位胜任能力等多种因素，就业单位对毕业生满意度。采用五星制，相对于全国平均值的偏离程度划分：一星：负偏离40%以下、二星：负偏离40%至负偏离20% 、三星：负偏离20%至正偏离20% 、四星：正偏离20%至正偏离40% 、五星：正偏离40%至正偏离60%，60%以上均按照60%计算。</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（10）</w:t>
      </w:r>
      <w:r>
        <w:rPr>
          <w:rFonts w:hint="eastAsia" w:ascii="宋体" w:hAnsi="宋体" w:cs="宋体"/>
          <w:b/>
          <w:bCs/>
          <w:szCs w:val="21"/>
        </w:rPr>
        <w:t>★专业需要分析的工作胜任能力。</w:t>
      </w:r>
      <w:r>
        <w:rPr>
          <w:rFonts w:hint="eastAsia" w:ascii="宋体" w:hAnsi="宋体" w:cs="宋体"/>
          <w:szCs w:val="21"/>
        </w:rPr>
        <w:t>通过大数据人工智能方式智能提取，采用毕业生毕业两的工作胜任能力，基于毕业生正在从事的工作岗位，通过人岗匹配评测模型分析，采用120分制，50分以下有待提高，50-60分基本胜任、60-80分较为胜任、80分以上非常胜任。</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（11）★</w:t>
      </w:r>
      <w:r>
        <w:rPr>
          <w:rFonts w:hint="eastAsia" w:ascii="宋体" w:hAnsi="宋体" w:cs="宋体"/>
          <w:b/>
          <w:bCs/>
          <w:szCs w:val="21"/>
        </w:rPr>
        <w:t>专业需要分析的晋升情况</w:t>
      </w:r>
      <w:r>
        <w:rPr>
          <w:rFonts w:hint="eastAsia" w:ascii="宋体" w:hAnsi="宋体" w:cs="宋体"/>
          <w:szCs w:val="21"/>
        </w:rPr>
        <w:t>。通过大数据人工智能方式智能提取，采用毕业生的职位级别，细分为含销售职业和不含销售职业，晋升等级包含：总监、总经理、总裁。总监级别涵盖：部门/事业部管理等各部门总监、副总监；总经理级别涵盖：某某总经理、副总经理、某部总经理、某分子公司总经理等；总裁级别涵盖：总裁、副总裁、首席执行官CEO、首席技术执行官CTO、总经理、首席运营官COO、首席财务官CFO、首席人力资源官CHO等。</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（12）</w:t>
      </w:r>
      <w:r>
        <w:rPr>
          <w:rFonts w:hint="eastAsia" w:ascii="宋体" w:hAnsi="宋体" w:cs="宋体"/>
          <w:b/>
          <w:bCs/>
          <w:szCs w:val="21"/>
        </w:rPr>
        <w:t>★专业需要分析的课程关联能力：</w:t>
      </w:r>
      <w:r>
        <w:rPr>
          <w:rFonts w:hint="eastAsia" w:ascii="宋体" w:hAnsi="宋体" w:cs="宋体"/>
          <w:szCs w:val="21"/>
        </w:rPr>
        <w:t>通过大数据人工智能方式智能提取，运用共词网络、自动分类、文本聚类等技术智能分析出毕业生擅长的能力，对可显性分析课程与能力进行关联分析。</w:t>
      </w:r>
    </w:p>
    <w:p>
      <w:pPr>
        <w:rPr>
          <w:b/>
          <w:bCs/>
        </w:rPr>
      </w:pPr>
      <w:bookmarkStart w:id="0" w:name="_Toc38747056"/>
      <w:r>
        <w:rPr>
          <w:rFonts w:hint="eastAsia"/>
          <w:b/>
          <w:bCs/>
        </w:rPr>
        <w:t>（三）服务要求</w:t>
      </w:r>
    </w:p>
    <w:p>
      <w:pPr>
        <w:rPr>
          <w:bCs/>
        </w:rPr>
      </w:pPr>
      <w:r>
        <w:rPr>
          <w:rFonts w:hint="eastAsia"/>
          <w:b/>
          <w:bCs/>
        </w:rPr>
        <w:t xml:space="preserve">    </w:t>
      </w:r>
      <w:r>
        <w:rPr>
          <w:b/>
          <w:bCs/>
        </w:rPr>
        <w:t xml:space="preserve"> </w:t>
      </w:r>
      <w:r>
        <w:rPr>
          <w:rFonts w:hint="eastAsia"/>
          <w:bCs/>
        </w:rPr>
        <w:t>供应商按采购方需求出具AI分析报告，并对项目过程和报告结果负全部责任。</w:t>
      </w:r>
    </w:p>
    <w:p>
      <w:pPr>
        <w:rPr>
          <w:b/>
          <w:bCs/>
        </w:rPr>
      </w:pPr>
      <w:r>
        <w:rPr>
          <w:rFonts w:hint="eastAsia"/>
          <w:b/>
          <w:bCs/>
        </w:rPr>
        <w:t>（四）项目交付</w:t>
      </w:r>
      <w:bookmarkEnd w:id="0"/>
    </w:p>
    <w:p>
      <w:pPr>
        <w:rPr>
          <w:bCs/>
        </w:rPr>
      </w:pPr>
      <w:r>
        <w:rPr>
          <w:rFonts w:hint="eastAsia" w:ascii="宋体" w:hAnsi="宋体"/>
          <w:szCs w:val="24"/>
        </w:rPr>
        <w:t xml:space="preserve">     自采购方书面通知之日起</w:t>
      </w:r>
      <w:r>
        <w:rPr>
          <w:rFonts w:hint="eastAsia" w:ascii="宋体" w:hAnsi="宋体"/>
          <w:szCs w:val="24"/>
          <w:lang w:val="en-US" w:eastAsia="zh-CN"/>
        </w:rPr>
        <w:t>3</w:t>
      </w:r>
      <w:r>
        <w:rPr>
          <w:rFonts w:ascii="宋体" w:hAnsi="宋体"/>
          <w:szCs w:val="24"/>
        </w:rPr>
        <w:t>0</w:t>
      </w:r>
      <w:r>
        <w:rPr>
          <w:rFonts w:hint="eastAsia" w:ascii="宋体" w:hAnsi="宋体"/>
          <w:szCs w:val="24"/>
        </w:rPr>
        <w:t>天内交付AI分析报告。</w:t>
      </w:r>
    </w:p>
    <w:p/>
    <w:p>
      <w:pPr>
        <w:widowControl/>
        <w:jc w:val="left"/>
      </w:pPr>
      <w:r>
        <w:br w:type="page"/>
      </w:r>
      <w:bookmarkStart w:id="2" w:name="_GoBack"/>
      <w:bookmarkEnd w:id="2"/>
    </w:p>
    <w:p>
      <w:pPr>
        <w:pStyle w:val="2"/>
      </w:pPr>
      <w:bookmarkStart w:id="1" w:name="_Toc17537930"/>
      <w:r>
        <w:rPr>
          <w:rFonts w:hint="eastAsia"/>
        </w:rPr>
        <w:t xml:space="preserve">  评审细则</w:t>
      </w:r>
      <w:bookmarkEnd w:id="1"/>
    </w:p>
    <w:p>
      <w:pPr>
        <w:adjustRightInd w:val="0"/>
        <w:snapToGrid w:val="0"/>
        <w:spacing w:line="360" w:lineRule="exact"/>
        <w:ind w:firstLine="420" w:firstLineChars="200"/>
        <w:rPr>
          <w:rFonts w:ascii="宋体" w:hAnsi="宋体"/>
          <w:szCs w:val="21"/>
        </w:rPr>
      </w:pPr>
      <w:r>
        <w:rPr>
          <w:rFonts w:hint="eastAsia" w:ascii="宋体" w:hAnsi="宋体"/>
          <w:szCs w:val="21"/>
        </w:rPr>
        <w:t>一、本项目采用综合评分法，由磋商小组对所有有效投标进行详细的评分，采用百分制计分方法。评审时，磋商小组各成员</w:t>
      </w:r>
      <w:r>
        <w:rPr>
          <w:rFonts w:ascii="宋体" w:hAnsi="宋体"/>
          <w:szCs w:val="21"/>
        </w:rPr>
        <w:t>遵循公平、公正、择优原则</w:t>
      </w:r>
      <w:r>
        <w:rPr>
          <w:rFonts w:hint="eastAsia" w:ascii="宋体" w:hAnsi="宋体"/>
          <w:szCs w:val="21"/>
        </w:rPr>
        <w:t>，独立对每个有效供应商的标书进行评价、打分，各个供应商的</w:t>
      </w:r>
      <w:r>
        <w:rPr>
          <w:rFonts w:ascii="宋体" w:hAnsi="宋体"/>
          <w:szCs w:val="21"/>
        </w:rPr>
        <w:t>评审后</w:t>
      </w:r>
      <w:r>
        <w:rPr>
          <w:rFonts w:hint="eastAsia" w:ascii="宋体" w:hAnsi="宋体"/>
          <w:szCs w:val="21"/>
        </w:rPr>
        <w:t>最终得分为汇总计算所有评委所评定分值的平均值（保留2位小数）。对单个供应商的评分偏离评审小组平均分值±8%时，该评标人员需作出书面说明。对偏离超过平均分值±8%的评分，汇总分值时不予采用。如上述正偏离、负偏离分别出现2个以上的，只对偏离最大的评分，汇总分值时不予采用。</w:t>
      </w:r>
    </w:p>
    <w:p>
      <w:pPr>
        <w:adjustRightInd w:val="0"/>
        <w:snapToGrid w:val="0"/>
        <w:spacing w:line="360" w:lineRule="exact"/>
        <w:ind w:firstLine="420" w:firstLineChars="200"/>
        <w:rPr>
          <w:rFonts w:ascii="宋体" w:hAnsi="宋体"/>
          <w:color w:val="FF0000"/>
          <w:szCs w:val="21"/>
        </w:rPr>
      </w:pPr>
      <w:r>
        <w:rPr>
          <w:rFonts w:ascii="宋体" w:hAnsi="宋体"/>
          <w:szCs w:val="21"/>
        </w:rPr>
        <w:t>评审结果按评审后得分由高到低顺序排列。得分相同的，按磋商报价由低到高顺序排列。得分且磋商报价相同的并列。磋商响应文件满足磋商文件全部实质性要求，且按照评审因素的量化指标评审得分最高的供应商为排名第一的成交候选人。</w:t>
      </w:r>
    </w:p>
    <w:p>
      <w:pPr>
        <w:adjustRightInd w:val="0"/>
        <w:snapToGrid w:val="0"/>
        <w:spacing w:line="360" w:lineRule="exact"/>
        <w:ind w:firstLine="398" w:firstLineChars="200"/>
        <w:rPr>
          <w:rFonts w:ascii="宋体" w:hAnsi="宋体"/>
          <w:b/>
          <w:spacing w:val="-6"/>
          <w:szCs w:val="21"/>
        </w:rPr>
      </w:pPr>
      <w:r>
        <w:rPr>
          <w:rFonts w:hint="eastAsia" w:ascii="宋体" w:hAnsi="宋体"/>
          <w:b/>
          <w:spacing w:val="-6"/>
          <w:szCs w:val="21"/>
        </w:rPr>
        <w:t>二</w:t>
      </w:r>
      <w:r>
        <w:rPr>
          <w:rFonts w:ascii="宋体" w:hAnsi="宋体"/>
          <w:b/>
          <w:spacing w:val="-6"/>
          <w:szCs w:val="21"/>
        </w:rPr>
        <w:t>、</w:t>
      </w:r>
      <w:r>
        <w:rPr>
          <w:rFonts w:hint="eastAsia" w:ascii="宋体" w:hAnsi="宋体"/>
          <w:b/>
          <w:spacing w:val="-6"/>
          <w:szCs w:val="21"/>
        </w:rPr>
        <w:t>对于小微企业进行价格扣除：</w:t>
      </w:r>
    </w:p>
    <w:p>
      <w:pPr>
        <w:adjustRightInd w:val="0"/>
        <w:snapToGrid w:val="0"/>
        <w:spacing w:line="360" w:lineRule="exact"/>
        <w:ind w:firstLine="396" w:firstLineChars="200"/>
        <w:rPr>
          <w:rFonts w:ascii="宋体" w:hAnsi="宋体" w:cs="宋体"/>
          <w:b/>
          <w:szCs w:val="21"/>
        </w:rPr>
      </w:pPr>
      <w:r>
        <w:rPr>
          <w:rFonts w:hint="eastAsia" w:ascii="宋体" w:hAnsi="宋体"/>
          <w:spacing w:val="-6"/>
          <w:szCs w:val="21"/>
        </w:rPr>
        <w:t>对</w:t>
      </w:r>
      <w:r>
        <w:rPr>
          <w:rFonts w:ascii="宋体" w:hAnsi="宋体"/>
          <w:spacing w:val="-6"/>
          <w:szCs w:val="21"/>
        </w:rPr>
        <w:t>小型和微型企业</w:t>
      </w:r>
      <w:r>
        <w:rPr>
          <w:rFonts w:hint="eastAsia" w:ascii="宋体" w:hAnsi="宋体"/>
          <w:spacing w:val="-6"/>
          <w:szCs w:val="21"/>
        </w:rPr>
        <w:t>的</w:t>
      </w:r>
      <w:r>
        <w:rPr>
          <w:rFonts w:ascii="宋体" w:hAnsi="宋体"/>
          <w:spacing w:val="-6"/>
          <w:szCs w:val="21"/>
        </w:rPr>
        <w:t>价格给予10%的扣除用扣除后的价格参与评审</w:t>
      </w:r>
      <w:r>
        <w:rPr>
          <w:rFonts w:hint="eastAsia" w:ascii="宋体" w:hAnsi="宋体"/>
          <w:spacing w:val="-6"/>
          <w:szCs w:val="21"/>
        </w:rPr>
        <w:t>。属于残疾人福利性单位的视同小微企业，</w:t>
      </w:r>
      <w:r>
        <w:rPr>
          <w:rFonts w:ascii="宋体" w:hAnsi="宋体"/>
          <w:spacing w:val="-6"/>
          <w:szCs w:val="21"/>
        </w:rPr>
        <w:t>给予</w:t>
      </w:r>
      <w:r>
        <w:rPr>
          <w:rFonts w:hint="eastAsia" w:ascii="宋体" w:hAnsi="宋体"/>
          <w:spacing w:val="-6"/>
          <w:szCs w:val="21"/>
        </w:rPr>
        <w:t>价格扣除。</w:t>
      </w:r>
    </w:p>
    <w:p>
      <w:pPr>
        <w:adjustRightInd w:val="0"/>
        <w:snapToGrid w:val="0"/>
        <w:spacing w:line="360" w:lineRule="exact"/>
        <w:ind w:firstLine="422" w:firstLineChars="200"/>
        <w:rPr>
          <w:rFonts w:ascii="宋体" w:hAnsi="宋体"/>
          <w:b/>
          <w:szCs w:val="21"/>
        </w:rPr>
      </w:pPr>
      <w:r>
        <w:rPr>
          <w:rFonts w:hint="eastAsia" w:ascii="宋体" w:hAnsi="宋体"/>
          <w:b/>
          <w:szCs w:val="21"/>
        </w:rPr>
        <w:t>三、</w:t>
      </w:r>
      <w:r>
        <w:rPr>
          <w:rFonts w:ascii="宋体" w:hAnsi="宋体"/>
          <w:b/>
          <w:szCs w:val="21"/>
        </w:rPr>
        <w:t>评分细则：</w:t>
      </w:r>
    </w:p>
    <w:tbl>
      <w:tblPr>
        <w:tblStyle w:val="8"/>
        <w:tblW w:w="4845" w:type="pct"/>
        <w:tblInd w:w="158" w:type="dxa"/>
        <w:tblLayout w:type="autofit"/>
        <w:tblCellMar>
          <w:top w:w="0" w:type="dxa"/>
          <w:left w:w="108" w:type="dxa"/>
          <w:bottom w:w="0" w:type="dxa"/>
          <w:right w:w="108" w:type="dxa"/>
        </w:tblCellMar>
      </w:tblPr>
      <w:tblGrid>
        <w:gridCol w:w="817"/>
        <w:gridCol w:w="1078"/>
        <w:gridCol w:w="713"/>
        <w:gridCol w:w="5651"/>
      </w:tblGrid>
      <w:tr>
        <w:tblPrEx>
          <w:tblCellMar>
            <w:top w:w="0" w:type="dxa"/>
            <w:left w:w="108" w:type="dxa"/>
            <w:bottom w:w="0" w:type="dxa"/>
            <w:right w:w="108" w:type="dxa"/>
          </w:tblCellMar>
        </w:tblPrEx>
        <w:trPr>
          <w:tblHeader/>
        </w:trPr>
        <w:tc>
          <w:tcPr>
            <w:tcW w:w="1843"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评分因素</w:t>
            </w:r>
          </w:p>
        </w:tc>
        <w:tc>
          <w:tcPr>
            <w:tcW w:w="693" w:type="dxa"/>
            <w:tcBorders>
              <w:top w:val="single" w:color="auto" w:sz="8" w:space="0"/>
              <w:left w:val="nil"/>
              <w:bottom w:val="single" w:color="auto" w:sz="8"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分值</w:t>
            </w:r>
          </w:p>
        </w:tc>
        <w:tc>
          <w:tcPr>
            <w:tcW w:w="5494" w:type="dxa"/>
            <w:tcBorders>
              <w:top w:val="single" w:color="auto" w:sz="8" w:space="0"/>
              <w:left w:val="nil"/>
              <w:bottom w:val="single" w:color="auto" w:sz="8"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评分标准</w:t>
            </w:r>
          </w:p>
        </w:tc>
      </w:tr>
      <w:tr>
        <w:tblPrEx>
          <w:tblCellMar>
            <w:top w:w="0" w:type="dxa"/>
            <w:left w:w="108" w:type="dxa"/>
            <w:bottom w:w="0" w:type="dxa"/>
            <w:right w:w="108" w:type="dxa"/>
          </w:tblCellMar>
        </w:tblPrEx>
        <w:tc>
          <w:tcPr>
            <w:tcW w:w="795" w:type="dxa"/>
            <w:tcBorders>
              <w:top w:val="nil"/>
              <w:left w:val="single" w:color="auto" w:sz="8" w:space="0"/>
              <w:bottom w:val="single" w:color="000000" w:sz="8"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价格</w:t>
            </w:r>
          </w:p>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10分</w:t>
            </w:r>
          </w:p>
          <w:p>
            <w:pPr>
              <w:widowControl/>
              <w:adjustRightInd w:val="0"/>
              <w:snapToGrid w:val="0"/>
              <w:spacing w:line="360" w:lineRule="atLeast"/>
              <w:jc w:val="center"/>
              <w:rPr>
                <w:rFonts w:asciiTheme="minorEastAsia" w:hAnsiTheme="minorEastAsia" w:cstheme="minorEastAsia"/>
                <w:color w:val="000000"/>
                <w:kern w:val="0"/>
                <w:szCs w:val="21"/>
              </w:rPr>
            </w:pPr>
          </w:p>
        </w:tc>
        <w:tc>
          <w:tcPr>
            <w:tcW w:w="1048" w:type="dxa"/>
            <w:tcBorders>
              <w:top w:val="nil"/>
              <w:left w:val="single" w:color="auto" w:sz="8" w:space="0"/>
              <w:bottom w:val="single" w:color="000000" w:sz="8"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价格</w:t>
            </w:r>
          </w:p>
        </w:tc>
        <w:tc>
          <w:tcPr>
            <w:tcW w:w="693" w:type="dxa"/>
            <w:tcBorders>
              <w:top w:val="nil"/>
              <w:left w:val="single" w:color="auto" w:sz="8" w:space="0"/>
              <w:bottom w:val="single" w:color="000000" w:sz="8"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10分</w:t>
            </w:r>
          </w:p>
        </w:tc>
        <w:tc>
          <w:tcPr>
            <w:tcW w:w="5494" w:type="dxa"/>
            <w:tcBorders>
              <w:top w:val="nil"/>
              <w:left w:val="nil"/>
              <w:bottom w:val="single" w:color="auto" w:sz="8" w:space="0"/>
              <w:right w:val="single" w:color="auto" w:sz="8" w:space="0"/>
            </w:tcBorders>
            <w:vAlign w:val="center"/>
          </w:tcPr>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价格分采用低价优先法计算，即满足磋商文件要求且磋商价格最低的磋商报价为磋商基准价，其价格分为满分。其他供应商的价格分统一按照下列公式计算（计算结果四舍五入保留两位小数）：</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u w:val="single"/>
              </w:rPr>
              <w:t>磋商报价得分=（磋商基准价/最后磋商报价）×价格权值×100</w:t>
            </w:r>
          </w:p>
        </w:tc>
      </w:tr>
      <w:tr>
        <w:tblPrEx>
          <w:tblCellMar>
            <w:top w:w="0" w:type="dxa"/>
            <w:left w:w="108" w:type="dxa"/>
            <w:bottom w:w="0" w:type="dxa"/>
            <w:right w:w="108" w:type="dxa"/>
          </w:tblCellMar>
        </w:tblPrEx>
        <w:tc>
          <w:tcPr>
            <w:tcW w:w="795" w:type="dxa"/>
            <w:tcBorders>
              <w:top w:val="nil"/>
              <w:left w:val="single" w:color="auto" w:sz="8"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color w:val="000000"/>
                <w:kern w:val="0"/>
                <w:szCs w:val="21"/>
              </w:rPr>
            </w:pPr>
          </w:p>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技术部分</w:t>
            </w:r>
          </w:p>
          <w:p>
            <w:pPr>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60分</w:t>
            </w:r>
          </w:p>
        </w:tc>
        <w:tc>
          <w:tcPr>
            <w:tcW w:w="1048" w:type="dxa"/>
            <w:tcBorders>
              <w:top w:val="nil"/>
              <w:left w:val="single" w:color="auto" w:sz="8" w:space="0"/>
              <w:bottom w:val="single" w:color="auto" w:sz="4"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分析</w:t>
            </w:r>
          </w:p>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报告</w:t>
            </w:r>
          </w:p>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大纲</w:t>
            </w:r>
          </w:p>
        </w:tc>
        <w:tc>
          <w:tcPr>
            <w:tcW w:w="693" w:type="dxa"/>
            <w:tcBorders>
              <w:top w:val="nil"/>
              <w:left w:val="single" w:color="auto" w:sz="8" w:space="0"/>
              <w:bottom w:val="single" w:color="000000" w:sz="8" w:space="0"/>
              <w:right w:val="single" w:color="auto" w:sz="8" w:space="0"/>
            </w:tcBorders>
            <w:vAlign w:val="center"/>
          </w:tcPr>
          <w:p>
            <w:pPr>
              <w:widowControl/>
              <w:adjustRightInd w:val="0"/>
              <w:snapToGrid w:val="0"/>
              <w:spacing w:line="360" w:lineRule="atLeast"/>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15分</w:t>
            </w:r>
          </w:p>
        </w:tc>
        <w:tc>
          <w:tcPr>
            <w:tcW w:w="5494" w:type="dxa"/>
            <w:tcBorders>
              <w:top w:val="nil"/>
              <w:left w:val="nil"/>
              <w:bottom w:val="single" w:color="auto" w:sz="8" w:space="0"/>
              <w:right w:val="single" w:color="auto" w:sz="8" w:space="0"/>
            </w:tcBorders>
            <w:vAlign w:val="center"/>
          </w:tcPr>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供应商提交专业AI分析报告大纲。</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1.大纲细化内容全面、详细、有针对性，完全满足采购人需要和本项目实际需求得15分；</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2.大纲细化内容略有欠缺但满足采购人需要和本项目实际需求得10分；</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3.大纲细化内容有欠缺但满足采购人需要和本项目实际需求得5分； </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4.大纲基本满足采购人需要和本项目实际需求，但有较大欠缺或未细化得0分。本项最多15分</w:t>
            </w:r>
          </w:p>
        </w:tc>
      </w:tr>
      <w:tr>
        <w:tblPrEx>
          <w:tblCellMar>
            <w:top w:w="0" w:type="dxa"/>
            <w:left w:w="108" w:type="dxa"/>
            <w:bottom w:w="0" w:type="dxa"/>
            <w:right w:w="108" w:type="dxa"/>
          </w:tblCellMar>
        </w:tblPrEx>
        <w:tc>
          <w:tcPr>
            <w:tcW w:w="795" w:type="dxa"/>
            <w:vMerge w:val="restart"/>
            <w:tcBorders>
              <w:top w:val="single" w:color="auto" w:sz="4" w:space="0"/>
              <w:left w:val="single" w:color="auto" w:sz="8" w:space="0"/>
              <w:right w:val="single" w:color="auto" w:sz="8" w:space="0"/>
            </w:tcBorders>
            <w:vAlign w:val="center"/>
          </w:tcPr>
          <w:p>
            <w:pPr>
              <w:adjustRightInd w:val="0"/>
              <w:snapToGrid w:val="0"/>
              <w:spacing w:line="360" w:lineRule="atLeast"/>
              <w:jc w:val="center"/>
              <w:rPr>
                <w:rFonts w:asciiTheme="minorEastAsia" w:hAnsiTheme="minorEastAsia" w:cstheme="minorEastAsia"/>
                <w:color w:val="000000"/>
                <w:kern w:val="0"/>
                <w:szCs w:val="21"/>
              </w:rPr>
            </w:pPr>
          </w:p>
        </w:tc>
        <w:tc>
          <w:tcPr>
            <w:tcW w:w="1048" w:type="dxa"/>
            <w:tcBorders>
              <w:top w:val="single" w:color="auto" w:sz="4" w:space="0"/>
              <w:left w:val="single" w:color="auto" w:sz="8" w:space="0"/>
              <w:bottom w:val="single" w:color="000000" w:sz="8" w:space="0"/>
              <w:right w:val="single" w:color="auto" w:sz="8" w:space="0"/>
            </w:tcBorders>
            <w:vAlign w:val="center"/>
          </w:tcPr>
          <w:p>
            <w:pPr>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技术路线保障</w:t>
            </w:r>
          </w:p>
        </w:tc>
        <w:tc>
          <w:tcPr>
            <w:tcW w:w="693" w:type="dxa"/>
            <w:tcBorders>
              <w:top w:val="single" w:color="auto" w:sz="4" w:space="0"/>
              <w:left w:val="single" w:color="auto" w:sz="8" w:space="0"/>
              <w:bottom w:val="single" w:color="000000" w:sz="8" w:space="0"/>
              <w:right w:val="single" w:color="auto" w:sz="8" w:space="0"/>
            </w:tcBorders>
            <w:vAlign w:val="center"/>
          </w:tcPr>
          <w:p>
            <w:pPr>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10分</w:t>
            </w:r>
          </w:p>
        </w:tc>
        <w:tc>
          <w:tcPr>
            <w:tcW w:w="5494" w:type="dxa"/>
            <w:tcBorders>
              <w:top w:val="single" w:color="auto" w:sz="4" w:space="0"/>
              <w:left w:val="nil"/>
              <w:bottom w:val="single" w:color="auto" w:sz="4" w:space="0"/>
              <w:right w:val="single" w:color="auto" w:sz="8" w:space="0"/>
            </w:tcBorders>
            <w:vAlign w:val="center"/>
          </w:tcPr>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供应商提交从供给侧和需求侧数据获取软件、分析技术、自动化软件、算法模型、高校批量对比验证的技术路线方案，技术路线方案中需要有明确的里程碑时间点。逻辑合理的描述了本项目总体技术要求对应的实现过程及供需数据积累过程。在技术路线方案完全符合本项目技术要求的情况下，供应商提交对应时间节点上的已发表的软件著作权得10分（软件著作权登记证书获得时间需为2019年12月以前，其中分别为智能招聘类软件著作权得2.5分，猎头类软件著作权得2.5分，机器人类软件著作权得2.5分，大数据分析类著作权得2.5分，每类最多得2.5分）。本项最多得10分。</w:t>
            </w:r>
          </w:p>
        </w:tc>
      </w:tr>
      <w:tr>
        <w:tblPrEx>
          <w:tblCellMar>
            <w:top w:w="0" w:type="dxa"/>
            <w:left w:w="108" w:type="dxa"/>
            <w:bottom w:w="0" w:type="dxa"/>
            <w:right w:w="108" w:type="dxa"/>
          </w:tblCellMar>
        </w:tblPrEx>
        <w:tc>
          <w:tcPr>
            <w:tcW w:w="795" w:type="dxa"/>
            <w:vMerge w:val="continue"/>
            <w:tcBorders>
              <w:left w:val="single" w:color="auto" w:sz="8" w:space="0"/>
              <w:bottom w:val="single" w:color="000000" w:sz="8"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color w:val="000000"/>
                <w:kern w:val="0"/>
                <w:szCs w:val="21"/>
              </w:rPr>
            </w:pPr>
          </w:p>
        </w:tc>
        <w:tc>
          <w:tcPr>
            <w:tcW w:w="1048" w:type="dxa"/>
            <w:tcBorders>
              <w:top w:val="nil"/>
              <w:left w:val="single" w:color="auto" w:sz="8" w:space="0"/>
              <w:bottom w:val="single" w:color="000000" w:sz="8"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服务</w:t>
            </w:r>
          </w:p>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质量</w:t>
            </w:r>
          </w:p>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保障</w:t>
            </w:r>
          </w:p>
          <w:p>
            <w:pPr>
              <w:widowControl/>
              <w:adjustRightInd w:val="0"/>
              <w:snapToGrid w:val="0"/>
              <w:spacing w:line="360" w:lineRule="atLeast"/>
              <w:jc w:val="center"/>
              <w:rPr>
                <w:rFonts w:asciiTheme="minorEastAsia" w:hAnsiTheme="minorEastAsia" w:cstheme="minorEastAsia"/>
                <w:color w:val="000000"/>
                <w:kern w:val="0"/>
                <w:szCs w:val="21"/>
              </w:rPr>
            </w:pPr>
          </w:p>
        </w:tc>
        <w:tc>
          <w:tcPr>
            <w:tcW w:w="693" w:type="dxa"/>
            <w:tcBorders>
              <w:top w:val="nil"/>
              <w:left w:val="single" w:color="auto" w:sz="8" w:space="0"/>
              <w:bottom w:val="single" w:color="000000" w:sz="8"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35分</w:t>
            </w:r>
          </w:p>
        </w:tc>
        <w:tc>
          <w:tcPr>
            <w:tcW w:w="5494" w:type="dxa"/>
            <w:tcBorders>
              <w:top w:val="nil"/>
              <w:left w:val="nil"/>
              <w:bottom w:val="single" w:color="auto" w:sz="4" w:space="0"/>
              <w:right w:val="single" w:color="auto" w:sz="8" w:space="0"/>
            </w:tcBorders>
            <w:vAlign w:val="center"/>
          </w:tcPr>
          <w:p>
            <w:pPr>
              <w:adjustRightInd w:val="0"/>
              <w:snapToGrid w:val="0"/>
              <w:spacing w:line="360" w:lineRule="atLeast"/>
              <w:rPr>
                <w:rFonts w:asciiTheme="minorEastAsia" w:hAnsiTheme="minorEastAsia" w:cstheme="minorEastAsia"/>
                <w:b/>
                <w:szCs w:val="21"/>
              </w:rPr>
            </w:pPr>
            <w:r>
              <w:rPr>
                <w:rFonts w:hint="eastAsia" w:asciiTheme="minorEastAsia" w:hAnsiTheme="minorEastAsia" w:cstheme="minorEastAsia"/>
                <w:b/>
                <w:szCs w:val="21"/>
              </w:rPr>
              <w:t>（1）通识能力智能提取算法模型质量 （5分）</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通识能力，如沟通与表达能力、组织协调能力、逻辑思维能力、执行能力、创新能力等，</w:t>
            </w:r>
            <w:r>
              <w:rPr>
                <w:rFonts w:hint="eastAsia" w:asciiTheme="minorEastAsia" w:hAnsiTheme="minorEastAsia" w:cstheme="minorEastAsia"/>
                <w:b/>
                <w:szCs w:val="21"/>
              </w:rPr>
              <w:t>智能提取算法模型结果质量已经公开被批量高校验证，反映良好</w:t>
            </w:r>
            <w:r>
              <w:rPr>
                <w:rFonts w:hint="eastAsia" w:asciiTheme="minorEastAsia" w:hAnsiTheme="minorEastAsia" w:cstheme="minorEastAsia"/>
                <w:szCs w:val="21"/>
              </w:rPr>
              <w:t>。</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提供具备开展第二级师范类专业认证工作资质的评估机构参与验证并对外公开发布证明文件(有评估机构盖章)复印件</w:t>
            </w:r>
          </w:p>
          <w:p>
            <w:pPr>
              <w:adjustRightInd w:val="0"/>
              <w:snapToGrid w:val="0"/>
              <w:spacing w:line="360" w:lineRule="atLeast"/>
              <w:ind w:firstLine="422" w:firstLineChars="200"/>
              <w:rPr>
                <w:rFonts w:asciiTheme="minorEastAsia" w:hAnsiTheme="minorEastAsia" w:cstheme="minorEastAsia"/>
                <w:szCs w:val="21"/>
              </w:rPr>
            </w:pPr>
            <w:r>
              <w:rPr>
                <w:rFonts w:hint="eastAsia" w:asciiTheme="minorEastAsia" w:hAnsiTheme="minorEastAsia" w:cstheme="minorEastAsia"/>
                <w:b/>
                <w:bCs/>
                <w:szCs w:val="21"/>
              </w:rPr>
              <w:t>注：证明文件内容需符合本项指标验证证明，且采购人有权要求进一步核查评估机构公开发布的验证内容。</w:t>
            </w:r>
          </w:p>
          <w:p>
            <w:pPr>
              <w:adjustRightInd w:val="0"/>
              <w:snapToGrid w:val="0"/>
              <w:spacing w:line="360" w:lineRule="atLeast"/>
              <w:ind w:firstLine="422" w:firstLineChars="200"/>
              <w:rPr>
                <w:rFonts w:asciiTheme="minorEastAsia" w:hAnsiTheme="minorEastAsia" w:cstheme="minorEastAsia"/>
                <w:b/>
                <w:bCs/>
                <w:color w:val="FF0000"/>
                <w:szCs w:val="21"/>
              </w:rPr>
            </w:pPr>
            <w:r>
              <w:rPr>
                <w:rFonts w:hint="eastAsia" w:asciiTheme="minorEastAsia" w:hAnsiTheme="minorEastAsia" w:cstheme="minorEastAsia"/>
                <w:b/>
                <w:bCs/>
                <w:color w:val="FF0000"/>
                <w:szCs w:val="21"/>
              </w:rPr>
              <w:t>响应文件中提供复印件并加盖鲜章，原件或公证件携带至开标现场核查，否则不得分。</w:t>
            </w:r>
          </w:p>
          <w:p>
            <w:pPr>
              <w:adjustRightInd w:val="0"/>
              <w:snapToGrid w:val="0"/>
              <w:spacing w:line="360" w:lineRule="atLeast"/>
              <w:rPr>
                <w:rFonts w:asciiTheme="minorEastAsia" w:hAnsiTheme="minorEastAsia" w:cstheme="minorEastAsia"/>
                <w:b/>
                <w:szCs w:val="21"/>
              </w:rPr>
            </w:pPr>
            <w:r>
              <w:rPr>
                <w:rFonts w:hint="eastAsia" w:asciiTheme="minorEastAsia" w:hAnsiTheme="minorEastAsia" w:cstheme="minorEastAsia"/>
                <w:b/>
                <w:szCs w:val="21"/>
              </w:rPr>
              <w:t>（2）平均月薪算法模型质量 （5分）</w:t>
            </w:r>
          </w:p>
          <w:p>
            <w:pPr>
              <w:adjustRightInd w:val="0"/>
              <w:snapToGrid w:val="0"/>
              <w:spacing w:line="360" w:lineRule="atLeas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基于大数据人工智能的新型手段得出的平均月薪。高校毕业生从毕业后开始的平均月薪</w:t>
            </w:r>
            <w:r>
              <w:rPr>
                <w:rFonts w:hint="eastAsia" w:asciiTheme="minorEastAsia" w:hAnsiTheme="minorEastAsia" w:cstheme="minorEastAsia"/>
                <w:b/>
                <w:bCs/>
                <w:szCs w:val="21"/>
              </w:rPr>
              <w:t>算法模型结果质量已经公开被批量高校验证，反映良好</w:t>
            </w:r>
            <w:r>
              <w:rPr>
                <w:rFonts w:hint="eastAsia" w:asciiTheme="minorEastAsia" w:hAnsiTheme="minorEastAsia" w:cstheme="minorEastAsia"/>
                <w:bCs/>
                <w:szCs w:val="21"/>
              </w:rPr>
              <w:t>。</w:t>
            </w:r>
          </w:p>
          <w:p>
            <w:pPr>
              <w:adjustRightInd w:val="0"/>
              <w:snapToGrid w:val="0"/>
              <w:spacing w:line="360" w:lineRule="atLeas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提供具备开展第二级师范类专业认证工作资质的评估机构参与验证并对外公开发布证明文件(有评估机构盖章)复印件</w:t>
            </w:r>
          </w:p>
          <w:p>
            <w:pPr>
              <w:adjustRightInd w:val="0"/>
              <w:snapToGrid w:val="0"/>
              <w:spacing w:line="360" w:lineRule="atLeast"/>
              <w:ind w:firstLine="422" w:firstLineChars="200"/>
              <w:rPr>
                <w:rFonts w:asciiTheme="minorEastAsia" w:hAnsiTheme="minorEastAsia" w:cstheme="minorEastAsia"/>
                <w:bCs/>
                <w:szCs w:val="21"/>
              </w:rPr>
            </w:pPr>
            <w:r>
              <w:rPr>
                <w:rFonts w:hint="eastAsia" w:asciiTheme="minorEastAsia" w:hAnsiTheme="minorEastAsia" w:cstheme="minorEastAsia"/>
                <w:b/>
                <w:szCs w:val="21"/>
              </w:rPr>
              <w:t>注：证明文件内容需符合本项指标验证证明，且采购人有权要求进一步核查评估机构公开发布的验证内容。</w:t>
            </w:r>
          </w:p>
          <w:p>
            <w:pPr>
              <w:adjustRightInd w:val="0"/>
              <w:snapToGrid w:val="0"/>
              <w:spacing w:line="360" w:lineRule="atLeast"/>
              <w:ind w:firstLine="422" w:firstLineChars="200"/>
            </w:pPr>
            <w:r>
              <w:rPr>
                <w:rFonts w:hint="eastAsia" w:asciiTheme="minorEastAsia" w:hAnsiTheme="minorEastAsia" w:cstheme="minorEastAsia"/>
                <w:b/>
                <w:bCs/>
                <w:color w:val="FF0000"/>
                <w:szCs w:val="21"/>
              </w:rPr>
              <w:t>响应文件中提供复印件并加盖鲜章，原件或公证件携带至开标现场核查，否则不得分。</w:t>
            </w:r>
          </w:p>
          <w:p>
            <w:pPr>
              <w:adjustRightInd w:val="0"/>
              <w:snapToGrid w:val="0"/>
              <w:spacing w:line="360" w:lineRule="atLeast"/>
              <w:rPr>
                <w:rFonts w:asciiTheme="minorEastAsia" w:hAnsiTheme="minorEastAsia" w:cstheme="minorEastAsia"/>
                <w:b/>
                <w:szCs w:val="21"/>
              </w:rPr>
            </w:pPr>
            <w:r>
              <w:rPr>
                <w:rFonts w:hint="eastAsia" w:asciiTheme="minorEastAsia" w:hAnsiTheme="minorEastAsia" w:cstheme="minorEastAsia"/>
                <w:b/>
                <w:szCs w:val="21"/>
              </w:rPr>
              <w:t>（3）单位对毕业生满意度算法模型质量 （5分）</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基于大数据人工智能的新型手段得出的客观满意度，</w:t>
            </w:r>
            <w:r>
              <w:rPr>
                <w:rFonts w:hint="eastAsia" w:asciiTheme="minorEastAsia" w:hAnsiTheme="minorEastAsia" w:cstheme="minorEastAsia"/>
                <w:b/>
                <w:szCs w:val="21"/>
              </w:rPr>
              <w:t>单位对毕业生满意度算法模型结果已经公开被批量高校验证，反映良好</w:t>
            </w:r>
            <w:r>
              <w:rPr>
                <w:rFonts w:hint="eastAsia" w:asciiTheme="minorEastAsia" w:hAnsiTheme="minorEastAsia" w:cstheme="minorEastAsia"/>
                <w:szCs w:val="21"/>
              </w:rPr>
              <w:t>。</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提供具备开展第二级师范类专业认证工作资质的评估机构参与验证并对外公开发布证明文件(有评估机构盖章)复印件</w:t>
            </w:r>
          </w:p>
          <w:p>
            <w:pPr>
              <w:adjustRightInd w:val="0"/>
              <w:snapToGrid w:val="0"/>
              <w:spacing w:line="360" w:lineRule="atLeas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注：证明文件内容需符合本项指标验证证明，且采购人有权要求进一步核查评估机构公开发布的验证内容。</w:t>
            </w:r>
          </w:p>
          <w:p>
            <w:pPr>
              <w:adjustRightInd w:val="0"/>
              <w:snapToGrid w:val="0"/>
              <w:spacing w:line="360" w:lineRule="atLeast"/>
              <w:ind w:firstLine="422" w:firstLineChars="200"/>
              <w:rPr>
                <w:rFonts w:asciiTheme="minorEastAsia" w:hAnsiTheme="minorEastAsia" w:cstheme="minorEastAsia"/>
                <w:b/>
                <w:bCs/>
                <w:color w:val="FF0000"/>
                <w:szCs w:val="21"/>
              </w:rPr>
            </w:pPr>
            <w:r>
              <w:rPr>
                <w:rFonts w:hint="eastAsia" w:asciiTheme="minorEastAsia" w:hAnsiTheme="minorEastAsia" w:cstheme="minorEastAsia"/>
                <w:b/>
                <w:bCs/>
                <w:color w:val="FF0000"/>
                <w:szCs w:val="21"/>
              </w:rPr>
              <w:t>响应文件中提供复印件并加盖鲜章，原件或公证件携带至开标现场核查，否则不得分。</w:t>
            </w:r>
          </w:p>
          <w:p>
            <w:pPr>
              <w:adjustRightInd w:val="0"/>
              <w:snapToGrid w:val="0"/>
              <w:spacing w:line="360" w:lineRule="atLeast"/>
              <w:rPr>
                <w:rFonts w:asciiTheme="minorEastAsia" w:hAnsiTheme="minorEastAsia" w:cstheme="minorEastAsia"/>
                <w:b/>
                <w:szCs w:val="21"/>
              </w:rPr>
            </w:pPr>
            <w:r>
              <w:rPr>
                <w:rFonts w:hint="eastAsia" w:asciiTheme="minorEastAsia" w:hAnsiTheme="minorEastAsia" w:cstheme="minorEastAsia"/>
                <w:b/>
                <w:szCs w:val="21"/>
              </w:rPr>
              <w:t>（4）工作胜任力算法模型质量 （5分）</w:t>
            </w:r>
          </w:p>
          <w:p>
            <w:pPr>
              <w:adjustRightInd w:val="0"/>
              <w:snapToGrid w:val="0"/>
              <w:spacing w:line="360" w:lineRule="atLeas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毕业生工作胜任力：是指毕业后两年内学生专业能力是否胜任当前从事的工作岗位。依据毕业生正在从事的工作岗位，通过人岗匹配评测模型分析得出胜任程度。工作胜任力算法模型结果已经公开被批量高校验证，反映良好。</w:t>
            </w:r>
          </w:p>
          <w:p>
            <w:pPr>
              <w:adjustRightInd w:val="0"/>
              <w:snapToGrid w:val="0"/>
              <w:spacing w:line="360" w:lineRule="atLeas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提供具备开展第二级师范类专业认证工作资质的评估机构参与验证并对外公开发布证明文件(有评估机构盖章)复印件</w:t>
            </w:r>
          </w:p>
          <w:p>
            <w:pPr>
              <w:adjustRightInd w:val="0"/>
              <w:snapToGrid w:val="0"/>
              <w:spacing w:line="360" w:lineRule="atLeast"/>
              <w:ind w:firstLine="422" w:firstLineChars="200"/>
              <w:rPr>
                <w:rFonts w:asciiTheme="minorEastAsia" w:hAnsiTheme="minorEastAsia" w:cstheme="minorEastAsia"/>
                <w:b/>
                <w:szCs w:val="21"/>
              </w:rPr>
            </w:pPr>
            <w:r>
              <w:rPr>
                <w:rFonts w:hint="eastAsia" w:asciiTheme="minorEastAsia" w:hAnsiTheme="minorEastAsia" w:cstheme="minorEastAsia"/>
                <w:b/>
                <w:szCs w:val="21"/>
              </w:rPr>
              <w:t>注：证明文件内容需符合本项指标验证证明，且采购人有权要求进一步核查评估机构公开发布的验证内容。</w:t>
            </w:r>
          </w:p>
          <w:p>
            <w:pPr>
              <w:adjustRightInd w:val="0"/>
              <w:snapToGrid w:val="0"/>
              <w:spacing w:line="360" w:lineRule="atLeast"/>
              <w:ind w:firstLine="422" w:firstLineChars="200"/>
              <w:rPr>
                <w:rFonts w:asciiTheme="minorEastAsia" w:hAnsiTheme="minorEastAsia" w:cstheme="minorEastAsia"/>
                <w:b/>
                <w:bCs/>
                <w:color w:val="FF0000"/>
                <w:szCs w:val="21"/>
              </w:rPr>
            </w:pPr>
            <w:r>
              <w:rPr>
                <w:rFonts w:hint="eastAsia" w:asciiTheme="minorEastAsia" w:hAnsiTheme="minorEastAsia" w:cstheme="minorEastAsia"/>
                <w:b/>
                <w:bCs/>
                <w:color w:val="FF0000"/>
                <w:szCs w:val="21"/>
              </w:rPr>
              <w:t>响应文件中提供复印件并加盖鲜章，原件或公证件携带至开标现场核查，否则不得分。</w:t>
            </w:r>
          </w:p>
          <w:p>
            <w:pPr>
              <w:adjustRightInd w:val="0"/>
              <w:snapToGrid w:val="0"/>
              <w:spacing w:line="360" w:lineRule="atLeast"/>
              <w:rPr>
                <w:rFonts w:asciiTheme="minorEastAsia" w:hAnsiTheme="minorEastAsia" w:cstheme="minorEastAsia"/>
                <w:b/>
                <w:szCs w:val="21"/>
              </w:rPr>
            </w:pPr>
            <w:r>
              <w:rPr>
                <w:rFonts w:hint="eastAsia" w:asciiTheme="minorEastAsia" w:hAnsiTheme="minorEastAsia" w:cstheme="minorEastAsia"/>
                <w:b/>
                <w:szCs w:val="21"/>
              </w:rPr>
              <w:t>（5）晋升调查算法模型质量 （ 5分）</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高校毕业生从毕业后开始的晋升调查算法模型结果质量已经公开被批量高校验证，反应良好。</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提供具备开展第二级师范类专业认证工作资质的评估机构参与验证并对外公开发布证明文件(有评估机构盖章)复印件</w:t>
            </w:r>
          </w:p>
          <w:p>
            <w:pPr>
              <w:adjustRightInd w:val="0"/>
              <w:snapToGrid w:val="0"/>
              <w:spacing w:line="360" w:lineRule="atLeas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注：证明文件内容需符合本项指标验证证明，且采购人有权要求进一步核查评估机构公开发布的验证内容。</w:t>
            </w:r>
          </w:p>
          <w:p>
            <w:pPr>
              <w:adjustRightInd w:val="0"/>
              <w:snapToGrid w:val="0"/>
              <w:spacing w:line="360" w:lineRule="atLeast"/>
              <w:ind w:firstLine="422" w:firstLineChars="200"/>
              <w:rPr>
                <w:rFonts w:asciiTheme="minorEastAsia" w:hAnsiTheme="minorEastAsia" w:cstheme="minorEastAsia"/>
                <w:b/>
                <w:bCs/>
                <w:color w:val="FF0000"/>
                <w:szCs w:val="21"/>
              </w:rPr>
            </w:pPr>
            <w:r>
              <w:rPr>
                <w:rFonts w:hint="eastAsia" w:asciiTheme="minorEastAsia" w:hAnsiTheme="minorEastAsia" w:cstheme="minorEastAsia"/>
                <w:b/>
                <w:bCs/>
                <w:color w:val="FF0000"/>
                <w:szCs w:val="21"/>
              </w:rPr>
              <w:t>响应文件中提供复印件并加盖鲜章，原件或公证件携带至开标现场核查，否则不得分。</w:t>
            </w:r>
          </w:p>
          <w:p>
            <w:pPr>
              <w:adjustRightInd w:val="0"/>
              <w:snapToGrid w:val="0"/>
              <w:spacing w:line="360" w:lineRule="atLeast"/>
              <w:rPr>
                <w:rFonts w:asciiTheme="minorEastAsia" w:hAnsiTheme="minorEastAsia" w:cstheme="minorEastAsia"/>
                <w:b/>
                <w:szCs w:val="21"/>
              </w:rPr>
            </w:pPr>
            <w:r>
              <w:rPr>
                <w:rFonts w:hint="eastAsia" w:asciiTheme="minorEastAsia" w:hAnsiTheme="minorEastAsia" w:cstheme="minorEastAsia"/>
                <w:b/>
                <w:szCs w:val="21"/>
              </w:rPr>
              <w:t>（6）专业知识与技能算法模型质量 （5分）</w:t>
            </w:r>
          </w:p>
          <w:p>
            <w:pPr>
              <w:adjustRightInd w:val="0"/>
              <w:snapToGrid w:val="0"/>
              <w:spacing w:line="360" w:lineRule="atLeas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基于大数据人工智能的新型手段，智能提取专业知识与技能，已在超过15种以上专业应用。需提供高校用户(教务处或二级学院盖章或学校公章，非教学部门盖章无效)盖章</w:t>
            </w:r>
          </w:p>
          <w:p>
            <w:pPr>
              <w:adjustRightInd w:val="0"/>
              <w:snapToGrid w:val="0"/>
              <w:spacing w:line="360" w:lineRule="atLeas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证明文件（并提供联系人联系电话），提供11种不同种专业证明文件的得1分，超过11种以上每多2种专业证明文件得1分。本项最多得4分。</w:t>
            </w:r>
          </w:p>
          <w:p>
            <w:pPr>
              <w:adjustRightInd w:val="0"/>
              <w:snapToGrid w:val="0"/>
              <w:spacing w:line="360" w:lineRule="atLeas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注：证明文件内容需包含已交付AI分析报告的专业名称，采用AI技术智能提取的专业知识与技能点的名称和结果验证说明。</w:t>
            </w:r>
          </w:p>
          <w:p>
            <w:pPr>
              <w:adjustRightInd w:val="0"/>
              <w:snapToGrid w:val="0"/>
              <w:spacing w:line="360" w:lineRule="atLeast"/>
              <w:ind w:firstLine="422" w:firstLineChars="200"/>
            </w:pPr>
            <w:r>
              <w:rPr>
                <w:rFonts w:hint="eastAsia" w:asciiTheme="minorEastAsia" w:hAnsiTheme="minorEastAsia" w:cstheme="minorEastAsia"/>
                <w:b/>
                <w:bCs/>
                <w:color w:val="FF0000"/>
                <w:szCs w:val="21"/>
              </w:rPr>
              <w:t>响应文件中提供复印件并加盖鲜章，原件或公证件携带至开标现场核查，否则不得分。</w:t>
            </w:r>
          </w:p>
          <w:p>
            <w:pPr>
              <w:adjustRightInd w:val="0"/>
              <w:snapToGrid w:val="0"/>
              <w:spacing w:line="360" w:lineRule="atLeast"/>
              <w:rPr>
                <w:rFonts w:asciiTheme="minorEastAsia" w:hAnsiTheme="minorEastAsia" w:cstheme="minorEastAsia"/>
                <w:b/>
                <w:szCs w:val="21"/>
              </w:rPr>
            </w:pPr>
            <w:r>
              <w:rPr>
                <w:rFonts w:hint="eastAsia" w:asciiTheme="minorEastAsia" w:hAnsiTheme="minorEastAsia" w:cstheme="minorEastAsia"/>
                <w:b/>
                <w:szCs w:val="21"/>
              </w:rPr>
              <w:t>（7）课程关联能力分析应用质量  （5分）</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通过共词网络、自动分类、文本聚类等技术分析毕业生擅长的能力，关联课程目标分析。已经在15种以上专业应用，并经过专业相关课程老师验证结果质量。</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需提供高校用户(教务处或二级学院盖章或学校公章，非教学部门盖章无效)盖章证明文件（并提供联系人联系电话）盖章的证明文件，提供11份不同采购人证明文件的，得1分。超过11份以上每多2份不同采购人的证明文件加一分，最多得4分。</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注：证明文件内容需包含已交付AI分析报告的专业名称，采用通过共词网络、自动分类、文本聚类等技术分析的相关课程名清单，结果已验证说明。不对应描述的视为无效材料。</w:t>
            </w:r>
          </w:p>
          <w:p>
            <w:pPr>
              <w:adjustRightInd w:val="0"/>
              <w:snapToGrid w:val="0"/>
              <w:spacing w:line="360" w:lineRule="atLeast"/>
              <w:ind w:firstLine="422" w:firstLineChars="200"/>
              <w:rPr>
                <w:rFonts w:asciiTheme="minorEastAsia" w:hAnsiTheme="minorEastAsia" w:cstheme="minorEastAsia"/>
                <w:szCs w:val="21"/>
              </w:rPr>
            </w:pPr>
            <w:r>
              <w:rPr>
                <w:rFonts w:hint="eastAsia" w:asciiTheme="minorEastAsia" w:hAnsiTheme="minorEastAsia" w:cstheme="minorEastAsia"/>
                <w:b/>
                <w:bCs/>
                <w:color w:val="FF0000"/>
                <w:szCs w:val="21"/>
              </w:rPr>
              <w:t>响应文件中提供复印件并加盖鲜章，原件或公证件携带至开标现场核查，否则不得分。</w:t>
            </w:r>
          </w:p>
        </w:tc>
      </w:tr>
      <w:tr>
        <w:tblPrEx>
          <w:tblCellMar>
            <w:top w:w="0" w:type="dxa"/>
            <w:left w:w="108" w:type="dxa"/>
            <w:bottom w:w="0" w:type="dxa"/>
            <w:right w:w="108" w:type="dxa"/>
          </w:tblCellMar>
        </w:tblPrEx>
        <w:tc>
          <w:tcPr>
            <w:tcW w:w="795" w:type="dxa"/>
            <w:tcBorders>
              <w:top w:val="nil"/>
              <w:left w:val="single" w:color="auto" w:sz="8"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技术服务响应</w:t>
            </w:r>
          </w:p>
          <w:p>
            <w:pPr>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10分</w:t>
            </w:r>
          </w:p>
        </w:tc>
        <w:tc>
          <w:tcPr>
            <w:tcW w:w="1048" w:type="dxa"/>
            <w:tcBorders>
              <w:top w:val="nil"/>
              <w:left w:val="single" w:color="auto" w:sz="8" w:space="0"/>
              <w:bottom w:val="single" w:color="000000" w:sz="8"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技术及服务</w:t>
            </w:r>
          </w:p>
        </w:tc>
        <w:tc>
          <w:tcPr>
            <w:tcW w:w="693" w:type="dxa"/>
            <w:tcBorders>
              <w:top w:val="nil"/>
              <w:left w:val="single" w:color="auto" w:sz="8" w:space="0"/>
              <w:bottom w:val="single" w:color="000000" w:sz="8"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10分</w:t>
            </w:r>
          </w:p>
        </w:tc>
        <w:tc>
          <w:tcPr>
            <w:tcW w:w="5494" w:type="dxa"/>
            <w:tcBorders>
              <w:top w:val="nil"/>
              <w:left w:val="nil"/>
              <w:bottom w:val="single" w:color="auto" w:sz="4" w:space="0"/>
              <w:right w:val="single" w:color="auto" w:sz="8" w:space="0"/>
            </w:tcBorders>
            <w:vAlign w:val="center"/>
          </w:tcPr>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供应商提供的技术规格和服务，完全满足磋商文件技术规格中所有要求的，得满分10分。</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技术规格和服务要求条款中：</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每缺少一条标注“★”的条款，扣1分，扣完为止。</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每缺少一条未标注“★”的条款，扣0.</w:t>
            </w:r>
            <w:r>
              <w:rPr>
                <w:rFonts w:asciiTheme="minorEastAsia" w:hAnsiTheme="minorEastAsia" w:cstheme="minorEastAsia"/>
                <w:szCs w:val="21"/>
              </w:rPr>
              <w:t>5</w:t>
            </w:r>
            <w:r>
              <w:rPr>
                <w:rFonts w:hint="eastAsia" w:asciiTheme="minorEastAsia" w:hAnsiTheme="minorEastAsia" w:cstheme="minorEastAsia"/>
                <w:szCs w:val="21"/>
              </w:rPr>
              <w:t>分，扣完为止。</w:t>
            </w:r>
          </w:p>
        </w:tc>
      </w:tr>
      <w:tr>
        <w:tblPrEx>
          <w:tblCellMar>
            <w:top w:w="0" w:type="dxa"/>
            <w:left w:w="108" w:type="dxa"/>
            <w:bottom w:w="0" w:type="dxa"/>
            <w:right w:w="108" w:type="dxa"/>
          </w:tblCellMar>
        </w:tblPrEx>
        <w:tc>
          <w:tcPr>
            <w:tcW w:w="795" w:type="dxa"/>
            <w:vMerge w:val="restart"/>
            <w:tcBorders>
              <w:top w:val="single" w:color="000000" w:sz="8" w:space="0"/>
              <w:left w:val="single" w:color="auto" w:sz="8" w:space="0"/>
              <w:bottom w:val="single" w:color="auto" w:sz="4" w:space="0"/>
              <w:right w:val="single" w:color="auto" w:sz="8" w:space="0"/>
            </w:tcBorders>
            <w:vAlign w:val="center"/>
          </w:tcPr>
          <w:p>
            <w:pPr>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商务部分</w:t>
            </w:r>
          </w:p>
          <w:p>
            <w:pPr>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20分</w:t>
            </w:r>
          </w:p>
        </w:tc>
        <w:tc>
          <w:tcPr>
            <w:tcW w:w="1048" w:type="dxa"/>
            <w:tcBorders>
              <w:top w:val="nil"/>
              <w:left w:val="single" w:color="auto" w:sz="8" w:space="0"/>
              <w:bottom w:val="single" w:color="000000" w:sz="8"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相关业绩证明</w:t>
            </w:r>
          </w:p>
        </w:tc>
        <w:tc>
          <w:tcPr>
            <w:tcW w:w="693" w:type="dxa"/>
            <w:tcBorders>
              <w:top w:val="nil"/>
              <w:left w:val="single" w:color="auto" w:sz="8" w:space="0"/>
              <w:bottom w:val="single" w:color="000000" w:sz="8"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12分</w:t>
            </w:r>
          </w:p>
        </w:tc>
        <w:tc>
          <w:tcPr>
            <w:tcW w:w="5494" w:type="dxa"/>
            <w:tcBorders>
              <w:top w:val="nil"/>
              <w:left w:val="nil"/>
              <w:bottom w:val="single" w:color="auto" w:sz="4" w:space="0"/>
              <w:right w:val="single" w:color="auto" w:sz="8" w:space="0"/>
            </w:tcBorders>
            <w:vAlign w:val="center"/>
          </w:tcPr>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供应商提供自2017年5月以来应用在高校专业的人工智能大数据分析服务项目合同，合同中明确为提供基于AI大数据分析的信息技术服务。</w:t>
            </w:r>
          </w:p>
          <w:p>
            <w:pPr>
              <w:adjustRightInd w:val="0"/>
              <w:snapToGrid w:val="0"/>
              <w:spacing w:line="360" w:lineRule="atLeast"/>
              <w:ind w:firstLine="420" w:firstLineChars="200"/>
              <w:rPr>
                <w:rFonts w:asciiTheme="minorEastAsia" w:hAnsiTheme="minorEastAsia" w:cstheme="minorEastAsia"/>
                <w:szCs w:val="21"/>
              </w:rPr>
            </w:pPr>
            <w:r>
              <w:rPr>
                <w:rFonts w:hint="eastAsia" w:asciiTheme="minorEastAsia" w:hAnsiTheme="minorEastAsia" w:cstheme="minorEastAsia"/>
                <w:szCs w:val="21"/>
              </w:rPr>
              <w:t>有1个得1分，最多得12分。</w:t>
            </w:r>
          </w:p>
          <w:p>
            <w:pPr>
              <w:adjustRightInd w:val="0"/>
              <w:snapToGrid w:val="0"/>
              <w:spacing w:line="360" w:lineRule="atLeast"/>
              <w:ind w:firstLine="422" w:firstLineChars="200"/>
              <w:rPr>
                <w:rFonts w:asciiTheme="minorEastAsia" w:hAnsiTheme="minorEastAsia" w:cstheme="minorEastAsia"/>
                <w:szCs w:val="21"/>
              </w:rPr>
            </w:pPr>
            <w:r>
              <w:rPr>
                <w:rFonts w:hint="eastAsia" w:asciiTheme="minorEastAsia" w:hAnsiTheme="minorEastAsia" w:cstheme="minorEastAsia"/>
                <w:b/>
                <w:bCs/>
                <w:color w:val="FF0000"/>
                <w:szCs w:val="21"/>
              </w:rPr>
              <w:t>响应文件中提供完整合同复印件并加盖鲜章，原件或公证件携带至开标现场核查，否则不得分。</w:t>
            </w:r>
          </w:p>
        </w:tc>
      </w:tr>
      <w:tr>
        <w:tblPrEx>
          <w:tblCellMar>
            <w:top w:w="0" w:type="dxa"/>
            <w:left w:w="108" w:type="dxa"/>
            <w:bottom w:w="0" w:type="dxa"/>
            <w:right w:w="108" w:type="dxa"/>
          </w:tblCellMar>
        </w:tblPrEx>
        <w:tc>
          <w:tcPr>
            <w:tcW w:w="795" w:type="dxa"/>
            <w:vMerge w:val="continue"/>
            <w:tcBorders>
              <w:left w:val="single" w:color="auto" w:sz="8" w:space="0"/>
              <w:bottom w:val="single" w:color="auto" w:sz="4" w:space="0"/>
              <w:right w:val="single" w:color="auto" w:sz="8" w:space="0"/>
            </w:tcBorders>
            <w:vAlign w:val="center"/>
          </w:tcPr>
          <w:p>
            <w:pPr>
              <w:adjustRightInd w:val="0"/>
              <w:snapToGrid w:val="0"/>
              <w:spacing w:line="360" w:lineRule="atLeast"/>
              <w:jc w:val="center"/>
              <w:rPr>
                <w:rFonts w:asciiTheme="minorEastAsia" w:hAnsiTheme="minorEastAsia" w:cstheme="minorEastAsia"/>
                <w:color w:val="000000"/>
                <w:kern w:val="0"/>
                <w:szCs w:val="21"/>
              </w:rPr>
            </w:pPr>
          </w:p>
        </w:tc>
        <w:tc>
          <w:tcPr>
            <w:tcW w:w="1048" w:type="dxa"/>
            <w:tcBorders>
              <w:top w:val="nil"/>
              <w:left w:val="single" w:color="auto" w:sz="8" w:space="0"/>
              <w:bottom w:val="single" w:color="auto" w:sz="4"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服务质量</w:t>
            </w:r>
          </w:p>
        </w:tc>
        <w:tc>
          <w:tcPr>
            <w:tcW w:w="693" w:type="dxa"/>
            <w:tcBorders>
              <w:top w:val="nil"/>
              <w:left w:val="single" w:color="auto" w:sz="8" w:space="0"/>
              <w:bottom w:val="single" w:color="auto" w:sz="4"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8分</w:t>
            </w:r>
          </w:p>
        </w:tc>
        <w:tc>
          <w:tcPr>
            <w:tcW w:w="5494" w:type="dxa"/>
            <w:tcBorders>
              <w:top w:val="nil"/>
              <w:left w:val="nil"/>
              <w:bottom w:val="single" w:color="auto" w:sz="4" w:space="0"/>
              <w:right w:val="single" w:color="auto" w:sz="8" w:space="0"/>
            </w:tcBorders>
            <w:vAlign w:val="center"/>
          </w:tcPr>
          <w:p>
            <w:pPr>
              <w:adjustRightInd w:val="0"/>
              <w:snapToGrid w:val="0"/>
              <w:spacing w:line="360" w:lineRule="atLeast"/>
              <w:ind w:firstLine="420" w:firstLineChars="200"/>
            </w:pPr>
            <w:r>
              <w:rPr>
                <w:rFonts w:hint="eastAsia"/>
              </w:rPr>
              <w:t>供应商提供自2017年5月以来完成的与本项目相类似的人工智能大数据分析服务应用在高校专业的教学用户反馈意见（反馈意见需要有盖用户单位章，反馈意见如为不满意、一般等未获好评不予计算），每提供一份合格有效材料得1分，最多得8分。</w:t>
            </w:r>
          </w:p>
          <w:p>
            <w:pPr>
              <w:adjustRightInd w:val="0"/>
              <w:snapToGrid w:val="0"/>
              <w:spacing w:line="360" w:lineRule="atLeast"/>
              <w:ind w:firstLine="422" w:firstLineChars="200"/>
            </w:pPr>
            <w:r>
              <w:rPr>
                <w:rFonts w:hint="eastAsia" w:asciiTheme="minorEastAsia" w:hAnsiTheme="minorEastAsia" w:cstheme="minorEastAsia"/>
                <w:b/>
                <w:bCs/>
                <w:color w:val="FF0000"/>
                <w:szCs w:val="21"/>
              </w:rPr>
              <w:t>响应文件中提供完整合同复印件并加盖鲜章，原件或公证件携带至开标现场核查，否则不得分。</w:t>
            </w:r>
          </w:p>
        </w:tc>
      </w:tr>
    </w:tbl>
    <w:p>
      <w:pPr>
        <w:tabs>
          <w:tab w:val="left" w:pos="5940"/>
        </w:tabs>
        <w:snapToGrid w:val="0"/>
        <w:spacing w:line="312" w:lineRule="auto"/>
        <w:ind w:firstLine="420" w:firstLineChars="200"/>
        <w:jc w:val="left"/>
        <w:rPr>
          <w:rFonts w:ascii="宋体" w:hAnsi="宋体"/>
          <w:bCs/>
          <w:szCs w:val="21"/>
        </w:rPr>
      </w:pPr>
    </w:p>
    <w:p>
      <w:pPr>
        <w:tabs>
          <w:tab w:val="left" w:pos="5940"/>
        </w:tabs>
        <w:snapToGrid w:val="0"/>
        <w:spacing w:line="312" w:lineRule="auto"/>
        <w:ind w:firstLine="420" w:firstLineChars="200"/>
        <w:jc w:val="left"/>
        <w:rPr>
          <w:rFonts w:ascii="宋体" w:hAnsi="宋体"/>
          <w:bCs/>
          <w:szCs w:val="21"/>
        </w:rPr>
      </w:pPr>
      <w:r>
        <w:rPr>
          <w:rFonts w:hint="eastAsia" w:ascii="宋体" w:hAnsi="宋体"/>
          <w:bCs/>
          <w:szCs w:val="21"/>
        </w:rPr>
        <w:t xml:space="preserve">注： </w:t>
      </w:r>
    </w:p>
    <w:p>
      <w:pPr>
        <w:tabs>
          <w:tab w:val="left" w:pos="5940"/>
        </w:tabs>
        <w:snapToGrid w:val="0"/>
        <w:spacing w:line="312" w:lineRule="auto"/>
        <w:ind w:firstLine="420" w:firstLineChars="200"/>
        <w:jc w:val="left"/>
        <w:rPr>
          <w:rFonts w:ascii="宋体" w:hAnsi="宋体"/>
          <w:bCs/>
          <w:szCs w:val="21"/>
        </w:rPr>
      </w:pPr>
      <w:r>
        <w:rPr>
          <w:rFonts w:hint="eastAsia" w:ascii="宋体" w:hAnsi="宋体"/>
          <w:bCs/>
          <w:szCs w:val="21"/>
        </w:rPr>
        <w:t>1.评分细则中要求提供的证明文件及资料等在磋商响应文件中提供复印件并加盖鲜章，要求“原件或公证件核查”的必须将原件或公证件携带至开标现场核查，否则不得分。</w:t>
      </w:r>
    </w:p>
    <w:p>
      <w:pPr>
        <w:tabs>
          <w:tab w:val="left" w:pos="5940"/>
        </w:tabs>
        <w:snapToGrid w:val="0"/>
        <w:spacing w:line="312" w:lineRule="auto"/>
        <w:ind w:firstLine="420" w:firstLineChars="200"/>
        <w:jc w:val="left"/>
        <w:rPr>
          <w:rFonts w:ascii="宋体" w:hAnsi="宋体"/>
          <w:bCs/>
          <w:szCs w:val="21"/>
        </w:rPr>
      </w:pPr>
      <w:r>
        <w:rPr>
          <w:rFonts w:hint="eastAsia" w:ascii="宋体" w:hAnsi="宋体"/>
          <w:bCs/>
          <w:szCs w:val="21"/>
        </w:rPr>
        <w:t>2.评审时，未能按以上要求提供相应证明（复印件和原件、公证件）的，不作为评审依据，不得分。</w:t>
      </w:r>
    </w:p>
    <w:p>
      <w:pPr>
        <w:pStyle w:val="18"/>
        <w:snapToGrid w:val="0"/>
        <w:spacing w:line="312" w:lineRule="auto"/>
        <w:ind w:firstLineChars="0"/>
        <w:rPr>
          <w:rFonts w:ascii="宋体" w:hAnsi="宋体"/>
          <w:b/>
          <w:sz w:val="21"/>
          <w:szCs w:val="21"/>
        </w:rPr>
        <w:sectPr>
          <w:headerReference r:id="rId4" w:type="first"/>
          <w:headerReference r:id="rId3" w:type="even"/>
          <w:footerReference r:id="rId5" w:type="even"/>
          <w:pgSz w:w="11907" w:h="16839"/>
          <w:pgMar w:top="1440" w:right="1800" w:bottom="1440" w:left="1800" w:header="851" w:footer="992" w:gutter="0"/>
          <w:cols w:space="720" w:num="1"/>
          <w:docGrid w:type="lines" w:linePitch="312" w:charSpace="0"/>
        </w:sectPr>
      </w:pPr>
      <w:r>
        <w:rPr>
          <w:rFonts w:hint="eastAsia" w:ascii="宋体" w:hAnsi="宋体"/>
          <w:bCs/>
          <w:sz w:val="21"/>
          <w:szCs w:val="21"/>
        </w:rPr>
        <w:t>3.为便于评分，请供应商按评分表样式，逐条列出证明材料所在页码，格式自定。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7"/>
      </w:rPr>
    </w:pPr>
    <w:r>
      <w:fldChar w:fldCharType="begin"/>
    </w:r>
    <w:r>
      <w:rPr>
        <w:rStyle w:val="17"/>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WordPictureWatermark6388135" o:spid="_x0000_s2050" o:spt="75" type="#_x0000_t75" style="position:absolute;left:0pt;height:425.3pt;width:425.3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标志"/>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WordPictureWatermark6388134" o:spid="_x0000_s2049" o:spt="75" type="#_x0000_t75" style="position:absolute;left:0pt;height:425.3pt;width:425.3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标志"/>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D3319"/>
    <w:rsid w:val="000E773A"/>
    <w:rsid w:val="005B6E68"/>
    <w:rsid w:val="0065795E"/>
    <w:rsid w:val="007C6B84"/>
    <w:rsid w:val="007D3319"/>
    <w:rsid w:val="009706F6"/>
    <w:rsid w:val="00B211A0"/>
    <w:rsid w:val="00BC194F"/>
    <w:rsid w:val="00D075EB"/>
    <w:rsid w:val="00DE7AD2"/>
    <w:rsid w:val="00E43C93"/>
    <w:rsid w:val="314F2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uiPriority w:val="99"/>
    <w:pPr>
      <w:ind w:firstLine="420" w:firstLineChars="200"/>
    </w:pPr>
  </w:style>
  <w:style w:type="paragraph" w:styleId="4">
    <w:name w:val="annotation text"/>
    <w:basedOn w:val="1"/>
    <w:link w:val="15"/>
    <w:unhideWhenUsed/>
    <w:qFormat/>
    <w:uiPriority w:val="0"/>
    <w:pPr>
      <w:jc w:val="left"/>
    </w:pPr>
    <w:rPr>
      <w:rFonts w:ascii="Times New Roman" w:hAnsi="Times New Roman" w:eastAsia="宋体" w:cs="Times New Roman"/>
      <w:szCs w:val="20"/>
    </w:rPr>
  </w:style>
  <w:style w:type="paragraph" w:styleId="5">
    <w:name w:val="Balloon Text"/>
    <w:basedOn w:val="1"/>
    <w:link w:val="19"/>
    <w:semiHidden/>
    <w:unhideWhenUsed/>
    <w:uiPriority w:val="99"/>
    <w:rPr>
      <w:sz w:val="18"/>
      <w:szCs w:val="18"/>
    </w:rPr>
  </w:style>
  <w:style w:type="paragraph" w:styleId="6">
    <w:name w:val="footer"/>
    <w:basedOn w:val="1"/>
    <w:link w:val="16"/>
    <w:qFormat/>
    <w:uiPriority w:val="0"/>
    <w:pPr>
      <w:tabs>
        <w:tab w:val="center" w:pos="4153"/>
        <w:tab w:val="right" w:pos="8307"/>
      </w:tabs>
      <w:snapToGrid w:val="0"/>
      <w:jc w:val="left"/>
    </w:pPr>
    <w:rPr>
      <w:rFonts w:eastAsia="宋体"/>
      <w:sz w:val="18"/>
    </w:rPr>
  </w:style>
  <w:style w:type="paragraph" w:styleId="7">
    <w:name w:val="header"/>
    <w:basedOn w:val="1"/>
    <w:link w:val="14"/>
    <w:qFormat/>
    <w:uiPriority w:val="0"/>
    <w:pPr>
      <w:pBdr>
        <w:bottom w:val="single" w:color="auto" w:sz="6" w:space="1"/>
      </w:pBdr>
      <w:tabs>
        <w:tab w:val="center" w:pos="4153"/>
        <w:tab w:val="right" w:pos="8307"/>
      </w:tabs>
      <w:snapToGrid w:val="0"/>
      <w:jc w:val="center"/>
    </w:pPr>
    <w:rPr>
      <w:rFonts w:ascii="Times New Roman" w:hAnsi="Times New Roman" w:eastAsia="宋体" w:cs="Times New Roman"/>
      <w:sz w:val="18"/>
      <w:szCs w:val="20"/>
    </w:rPr>
  </w:style>
  <w:style w:type="character" w:styleId="10">
    <w:name w:val="annotation reference"/>
    <w:unhideWhenUsed/>
    <w:qFormat/>
    <w:uiPriority w:val="99"/>
    <w:rPr>
      <w:sz w:val="21"/>
      <w:szCs w:val="21"/>
    </w:rPr>
  </w:style>
  <w:style w:type="character" w:customStyle="1" w:styleId="11">
    <w:name w:val="标题 1 Char"/>
    <w:basedOn w:val="9"/>
    <w:link w:val="2"/>
    <w:qFormat/>
    <w:uiPriority w:val="0"/>
    <w:rPr>
      <w:rFonts w:ascii="黑体" w:hAnsi="Times New Roman" w:eastAsia="宋体" w:cs="Times New Roman"/>
      <w:b/>
      <w:sz w:val="32"/>
      <w:szCs w:val="24"/>
    </w:rPr>
  </w:style>
  <w:style w:type="character" w:customStyle="1" w:styleId="12">
    <w:name w:val="批注文字 Char"/>
    <w:basedOn w:val="9"/>
    <w:semiHidden/>
    <w:uiPriority w:val="99"/>
  </w:style>
  <w:style w:type="character" w:customStyle="1" w:styleId="13">
    <w:name w:val="页脚 Char"/>
    <w:basedOn w:val="9"/>
    <w:semiHidden/>
    <w:uiPriority w:val="99"/>
    <w:rPr>
      <w:sz w:val="18"/>
      <w:szCs w:val="18"/>
    </w:rPr>
  </w:style>
  <w:style w:type="character" w:customStyle="1" w:styleId="14">
    <w:name w:val="页眉 Char"/>
    <w:basedOn w:val="9"/>
    <w:link w:val="7"/>
    <w:qFormat/>
    <w:uiPriority w:val="0"/>
    <w:rPr>
      <w:rFonts w:ascii="Times New Roman" w:hAnsi="Times New Roman" w:eastAsia="宋体" w:cs="Times New Roman"/>
      <w:sz w:val="18"/>
      <w:szCs w:val="20"/>
    </w:rPr>
  </w:style>
  <w:style w:type="character" w:customStyle="1" w:styleId="15">
    <w:name w:val="批注文字 Char1"/>
    <w:basedOn w:val="9"/>
    <w:link w:val="4"/>
    <w:qFormat/>
    <w:uiPriority w:val="0"/>
    <w:rPr>
      <w:rFonts w:ascii="Times New Roman" w:hAnsi="Times New Roman" w:eastAsia="宋体" w:cs="Times New Roman"/>
      <w:szCs w:val="20"/>
    </w:rPr>
  </w:style>
  <w:style w:type="character" w:customStyle="1" w:styleId="16">
    <w:name w:val="页脚 Char1"/>
    <w:basedOn w:val="9"/>
    <w:link w:val="6"/>
    <w:qFormat/>
    <w:uiPriority w:val="0"/>
    <w:rPr>
      <w:rFonts w:eastAsia="宋体"/>
      <w:sz w:val="18"/>
    </w:rPr>
  </w:style>
  <w:style w:type="character" w:customStyle="1" w:styleId="17">
    <w:name w:val="页码1"/>
    <w:basedOn w:val="9"/>
    <w:qFormat/>
    <w:uiPriority w:val="0"/>
  </w:style>
  <w:style w:type="paragraph" w:customStyle="1" w:styleId="18">
    <w:name w:val="Í¼±íÕýÎÄ"/>
    <w:basedOn w:val="1"/>
    <w:next w:val="3"/>
    <w:qFormat/>
    <w:uiPriority w:val="0"/>
    <w:pPr>
      <w:ind w:firstLine="420" w:firstLineChars="200"/>
    </w:pPr>
    <w:rPr>
      <w:rFonts w:ascii="Times New Roman" w:hAnsi="Times New Roman" w:eastAsia="宋体" w:cs="Times New Roman"/>
      <w:sz w:val="24"/>
      <w:szCs w:val="20"/>
    </w:rPr>
  </w:style>
  <w:style w:type="character" w:customStyle="1" w:styleId="19">
    <w:name w:val="批注框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799</Words>
  <Characters>4558</Characters>
  <Lines>37</Lines>
  <Paragraphs>10</Paragraphs>
  <TotalTime>1</TotalTime>
  <ScaleCrop>false</ScaleCrop>
  <LinksUpToDate>false</LinksUpToDate>
  <CharactersWithSpaces>5347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2020-06-04T04:50:00Z</dcterms:created>
  <dc:creator>MY</dc:creator>
  <cp:lastModifiedBy>孟源</cp:lastModifiedBy>
  <dcterms:modified xsi:type="dcterms:W3CDTF">2020-06-05T03:23:39Z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